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52D" w:rsidRPr="002E6735" w:rsidRDefault="002E6735" w:rsidP="002E6735">
      <w:pPr>
        <w:pStyle w:val="IQB-Aufgabentitel"/>
        <w:pBdr>
          <w:top w:val="none" w:sz="0" w:space="0" w:color="auto"/>
          <w:bottom w:val="none" w:sz="0" w:space="0" w:color="auto"/>
        </w:pBdr>
        <w:jc w:val="left"/>
        <w:rPr>
          <w:sz w:val="28"/>
        </w:rPr>
      </w:pPr>
      <w:r w:rsidRPr="002E6735">
        <w:rPr>
          <w:sz w:val="28"/>
        </w:rPr>
        <w:t>Didaktische Handreichung: Sterne und Sandkörner</w:t>
      </w:r>
    </w:p>
    <w:p w:rsidR="00BC4D4B" w:rsidRPr="002E6735" w:rsidRDefault="002E6735">
      <w:pPr>
        <w:pStyle w:val="IQB-Teilaufgabentitel"/>
        <w:rPr>
          <w:b/>
        </w:rPr>
      </w:pPr>
      <w:r w:rsidRPr="002E6735">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BC4D4B" w:rsidTr="00CB28B5">
        <w:tc>
          <w:tcPr>
            <w:tcW w:w="2466" w:type="dxa"/>
            <w:vAlign w:val="center"/>
          </w:tcPr>
          <w:p w:rsidR="00BC4D4B" w:rsidRDefault="00BC4D4B" w:rsidP="00CB28B5">
            <w:pPr>
              <w:pStyle w:val="IQB-Merkmal"/>
            </w:pPr>
            <w:r>
              <w:t>Leitidee</w:t>
            </w:r>
          </w:p>
        </w:tc>
        <w:tc>
          <w:tcPr>
            <w:tcW w:w="6604" w:type="dxa"/>
          </w:tcPr>
          <w:p w:rsidR="00BC4D4B" w:rsidRDefault="00BC4D4B" w:rsidP="00CB28B5">
            <w:pPr>
              <w:pStyle w:val="IQB-Merkmalswert"/>
            </w:pPr>
            <w:r>
              <w:t>1. Zahl</w:t>
            </w:r>
          </w:p>
        </w:tc>
      </w:tr>
      <w:tr w:rsidR="00BC4D4B" w:rsidTr="00CB28B5">
        <w:tc>
          <w:tcPr>
            <w:tcW w:w="2466" w:type="dxa"/>
            <w:vAlign w:val="center"/>
          </w:tcPr>
          <w:p w:rsidR="00BC4D4B" w:rsidRDefault="00BC4D4B" w:rsidP="00CB28B5">
            <w:pPr>
              <w:pStyle w:val="IQB-Merkmal"/>
            </w:pPr>
            <w:r>
              <w:t>Allgemeine Kompetenz</w:t>
            </w:r>
          </w:p>
        </w:tc>
        <w:tc>
          <w:tcPr>
            <w:tcW w:w="6604" w:type="dxa"/>
          </w:tcPr>
          <w:p w:rsidR="00BC4D4B" w:rsidRDefault="00BC4D4B" w:rsidP="00CB28B5">
            <w:pPr>
              <w:pStyle w:val="IQB-Merkmalswert"/>
            </w:pPr>
            <w:r>
              <w:t>Probleme mathematisch lösen (K2),</w:t>
            </w:r>
          </w:p>
          <w:p w:rsidR="00BC4D4B" w:rsidRDefault="00BC4D4B" w:rsidP="00CB28B5">
            <w:pPr>
              <w:pStyle w:val="IQB-Merkmalswert"/>
            </w:pPr>
            <w:r>
              <w:t>Mathematisch kommunizieren (K6)</w:t>
            </w:r>
          </w:p>
        </w:tc>
      </w:tr>
      <w:tr w:rsidR="00BC4D4B" w:rsidTr="00CB28B5">
        <w:tc>
          <w:tcPr>
            <w:tcW w:w="2466" w:type="dxa"/>
            <w:vAlign w:val="center"/>
          </w:tcPr>
          <w:p w:rsidR="00BC4D4B" w:rsidRDefault="00BC4D4B" w:rsidP="00CB28B5">
            <w:pPr>
              <w:pStyle w:val="IQB-Merkmal"/>
            </w:pPr>
            <w:r>
              <w:t>Anforderungsbereich</w:t>
            </w:r>
          </w:p>
        </w:tc>
        <w:tc>
          <w:tcPr>
            <w:tcW w:w="6604" w:type="dxa"/>
          </w:tcPr>
          <w:p w:rsidR="00BC4D4B" w:rsidRDefault="00BC4D4B" w:rsidP="00CB28B5">
            <w:pPr>
              <w:pStyle w:val="IQB-Merkmalswert"/>
            </w:pPr>
            <w:r>
              <w:t>II</w:t>
            </w:r>
          </w:p>
        </w:tc>
      </w:tr>
      <w:tr w:rsidR="00BC4D4B" w:rsidTr="00CB28B5">
        <w:tc>
          <w:tcPr>
            <w:tcW w:w="2466" w:type="dxa"/>
            <w:vAlign w:val="center"/>
          </w:tcPr>
          <w:p w:rsidR="00BC4D4B" w:rsidRDefault="00BC4D4B" w:rsidP="00CB28B5">
            <w:pPr>
              <w:pStyle w:val="IQB-Merkmal"/>
            </w:pPr>
            <w:r>
              <w:t>Kompetenzstufe</w:t>
            </w:r>
          </w:p>
        </w:tc>
        <w:tc>
          <w:tcPr>
            <w:tcW w:w="6604" w:type="dxa"/>
          </w:tcPr>
          <w:p w:rsidR="00BC4D4B" w:rsidRDefault="00BC4D4B" w:rsidP="00CB28B5">
            <w:pPr>
              <w:pStyle w:val="IQB-Merkmalswert"/>
            </w:pPr>
            <w:r>
              <w:t>4</w:t>
            </w:r>
          </w:p>
        </w:tc>
      </w:tr>
    </w:tbl>
    <w:p w:rsidR="00BC4D4B" w:rsidRPr="002E6735" w:rsidRDefault="002E6735" w:rsidP="00BC4D4B">
      <w:pPr>
        <w:pStyle w:val="IQB-Teilaufgabentitel"/>
        <w:rPr>
          <w:b/>
        </w:rPr>
      </w:pPr>
      <w:r w:rsidRPr="002E6735">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BC4D4B" w:rsidTr="00CB28B5">
        <w:tc>
          <w:tcPr>
            <w:tcW w:w="2466" w:type="dxa"/>
            <w:vAlign w:val="center"/>
          </w:tcPr>
          <w:p w:rsidR="00BC4D4B" w:rsidRDefault="00BC4D4B" w:rsidP="00CB28B5">
            <w:pPr>
              <w:pStyle w:val="IQB-Merkmal"/>
            </w:pPr>
            <w:r>
              <w:t>Leitidee</w:t>
            </w:r>
          </w:p>
        </w:tc>
        <w:tc>
          <w:tcPr>
            <w:tcW w:w="6604" w:type="dxa"/>
          </w:tcPr>
          <w:p w:rsidR="00BC4D4B" w:rsidRDefault="00BC4D4B" w:rsidP="00CB28B5">
            <w:pPr>
              <w:pStyle w:val="IQB-Merkmalswert"/>
            </w:pPr>
            <w:r>
              <w:t>1. Zahl</w:t>
            </w:r>
          </w:p>
        </w:tc>
      </w:tr>
      <w:tr w:rsidR="00BC4D4B" w:rsidTr="00CB28B5">
        <w:tc>
          <w:tcPr>
            <w:tcW w:w="2466" w:type="dxa"/>
            <w:vAlign w:val="center"/>
          </w:tcPr>
          <w:p w:rsidR="00BC4D4B" w:rsidRDefault="00BC4D4B" w:rsidP="00CB28B5">
            <w:pPr>
              <w:pStyle w:val="IQB-Merkmal"/>
            </w:pPr>
            <w:r>
              <w:t>Allgemeine Kompetenz</w:t>
            </w:r>
          </w:p>
        </w:tc>
        <w:tc>
          <w:tcPr>
            <w:tcW w:w="6604" w:type="dxa"/>
          </w:tcPr>
          <w:p w:rsidR="00BC4D4B" w:rsidRDefault="00BC4D4B" w:rsidP="00CB28B5">
            <w:pPr>
              <w:pStyle w:val="IQB-Merkmalswert"/>
            </w:pPr>
            <w:r>
              <w:t>Probleme mathematisch lösen (K2),</w:t>
            </w:r>
          </w:p>
          <w:p w:rsidR="00BC4D4B" w:rsidRDefault="00BC4D4B" w:rsidP="00CB28B5">
            <w:pPr>
              <w:pStyle w:val="IQB-Merkmalswert"/>
            </w:pPr>
            <w:r>
              <w:t>Mit Mathematik symbolisch/ formal/ technisch umgehen (K5),</w:t>
            </w:r>
          </w:p>
          <w:p w:rsidR="00BC4D4B" w:rsidRDefault="00BC4D4B" w:rsidP="00CB28B5">
            <w:pPr>
              <w:pStyle w:val="IQB-Merkmalswert"/>
            </w:pPr>
            <w:r>
              <w:t>Mathematisch kommunizieren (K6)</w:t>
            </w:r>
          </w:p>
        </w:tc>
      </w:tr>
      <w:tr w:rsidR="00BC4D4B" w:rsidTr="00CB28B5">
        <w:tc>
          <w:tcPr>
            <w:tcW w:w="2466" w:type="dxa"/>
            <w:vAlign w:val="center"/>
          </w:tcPr>
          <w:p w:rsidR="00BC4D4B" w:rsidRDefault="00BC4D4B" w:rsidP="00CB28B5">
            <w:pPr>
              <w:pStyle w:val="IQB-Merkmal"/>
            </w:pPr>
            <w:r>
              <w:t>Anforderungsbereich</w:t>
            </w:r>
          </w:p>
        </w:tc>
        <w:tc>
          <w:tcPr>
            <w:tcW w:w="6604" w:type="dxa"/>
          </w:tcPr>
          <w:p w:rsidR="00BC4D4B" w:rsidRDefault="00BC4D4B" w:rsidP="00CB28B5">
            <w:pPr>
              <w:pStyle w:val="IQB-Merkmalswert"/>
            </w:pPr>
            <w:r>
              <w:t>II</w:t>
            </w:r>
          </w:p>
        </w:tc>
      </w:tr>
      <w:tr w:rsidR="00BC4D4B" w:rsidTr="00CB28B5">
        <w:tc>
          <w:tcPr>
            <w:tcW w:w="2466" w:type="dxa"/>
            <w:vAlign w:val="center"/>
          </w:tcPr>
          <w:p w:rsidR="00BC4D4B" w:rsidRDefault="00BC4D4B" w:rsidP="00CB28B5">
            <w:pPr>
              <w:pStyle w:val="IQB-Merkmal"/>
            </w:pPr>
            <w:r>
              <w:t>Kompetenzstufe</w:t>
            </w:r>
          </w:p>
        </w:tc>
        <w:tc>
          <w:tcPr>
            <w:tcW w:w="6604" w:type="dxa"/>
          </w:tcPr>
          <w:p w:rsidR="00BC4D4B" w:rsidRDefault="00BC4D4B" w:rsidP="00CB28B5">
            <w:pPr>
              <w:pStyle w:val="IQB-Merkmalswert"/>
            </w:pPr>
            <w:r>
              <w:t>5</w:t>
            </w:r>
          </w:p>
        </w:tc>
      </w:tr>
    </w:tbl>
    <w:p w:rsidR="00BC4D4B" w:rsidRPr="0053290E" w:rsidRDefault="00BC4D4B" w:rsidP="00BC4D4B">
      <w:pPr>
        <w:pStyle w:val="IQB-Teilaufgabentitel"/>
      </w:pPr>
      <w:r w:rsidRPr="0053290E">
        <w:t>Aufgabenbezogener Kommentar</w:t>
      </w:r>
    </w:p>
    <w:p w:rsidR="00BC4D4B" w:rsidRDefault="00BC4D4B" w:rsidP="00BC4D4B">
      <w:pPr>
        <w:pStyle w:val="Flietext"/>
      </w:pPr>
      <w:r>
        <w:t>Diese Aufgabe gehört der Leitidee Zahl (L1) an, da (große) Zahlen und ihre Darstellung im Mittelpunkt stehen.</w:t>
      </w:r>
    </w:p>
    <w:p w:rsidR="00BC4D4B" w:rsidRDefault="00BC4D4B" w:rsidP="00BC4D4B">
      <w:pPr>
        <w:pStyle w:val="Flietext"/>
      </w:pPr>
      <w:r>
        <w:t>Zur Bearbeitung von Teilaufgabe 4.1 werden zunächst die Aufgabenstellung und der Zeitungsausschnitt gelesen. Dabei werden die nötigen Information zur Anzahl der Sterne sowie der Faktor von einem zum nächstgrößeren Zahlwort erkannt (K6). Anschließend sind diese Informationen in geeigneter Weise auf die Zahl 70 Trilliarden anzuwenden (K2). Die Bearbeitung von Teilaufgabe 4.2 erfordert dieselben beiden Kompetenzen, und zudem müssen formale Schreibweisen verstanden werden (K5). Im Gegensatz zur Teilaufgabe 4.1 handelt es sich bei dem zu lesenden Text nun um eine mathematische Erklärung, welche verstanden (K6) und anschließend in geeigneter Weise auf die Zahl 70 Trilliarden angewendet werden muss (K2).</w:t>
      </w:r>
    </w:p>
    <w:p w:rsidR="00BC4D4B" w:rsidRDefault="00BC4D4B" w:rsidP="00BC4D4B">
      <w:pPr>
        <w:pStyle w:val="Flietext"/>
      </w:pPr>
      <w:r>
        <w:t>Aufgrund der Anforderungen an das mathematische Kommunizieren und Problemlösen können beide Aufgaben dem Anforderungsbereich II zugeordnet werden.</w:t>
      </w:r>
    </w:p>
    <w:p w:rsidR="00BC4D4B" w:rsidRDefault="00BC4D4B" w:rsidP="00BC4D4B">
      <w:pPr>
        <w:pStyle w:val="IQBFlietext"/>
      </w:pPr>
    </w:p>
    <w:p w:rsidR="00BC4D4B" w:rsidRDefault="00BC4D4B" w:rsidP="00BC4D4B">
      <w:pPr>
        <w:pStyle w:val="Flietext"/>
      </w:pPr>
      <w:r>
        <w:t>Folgende Schwierigkeiten und Fehler sind zu erwarten:</w:t>
      </w:r>
    </w:p>
    <w:p w:rsidR="00BC4D4B" w:rsidRDefault="00BC4D4B" w:rsidP="00BC4D4B">
      <w:pPr>
        <w:pStyle w:val="Flietext"/>
        <w:numPr>
          <w:ilvl w:val="0"/>
          <w:numId w:val="5"/>
        </w:numPr>
      </w:pPr>
      <w:r>
        <w:t>Zu Teilaufgabe 4.1:</w:t>
      </w:r>
    </w:p>
    <w:p w:rsidR="00BC4D4B" w:rsidRDefault="00BC4D4B" w:rsidP="00BC4D4B">
      <w:pPr>
        <w:pStyle w:val="Flietext"/>
        <w:ind w:left="720"/>
      </w:pPr>
      <w:r>
        <w:t>Die Null der Zahl 70 wird bei der Angabe der Gesamtnullen vernachlässigt (Fehllösung: 21), wie die folgende Schülerlösung zeigt. Vermutlich fassen die Schülerinnen und Schüler die Angabe 70 und die Angabe Trilliarden als zwei getrennte Zahlen auf:</w:t>
      </w:r>
      <w:r>
        <w:br/>
      </w:r>
      <w:r w:rsidRPr="00400489">
        <w:rPr>
          <w:noProof/>
        </w:rPr>
        <w:drawing>
          <wp:inline distT="0" distB="0" distL="0" distR="0">
            <wp:extent cx="4095750" cy="130492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7"/>
                    <pic:cNvPicPr>
                      <a:picLocks noChangeAspect="1" noChangeArrowheads="1"/>
                    </pic:cNvPicPr>
                  </pic:nvPicPr>
                  <pic:blipFill>
                    <a:blip r:embed="rId8" cstate="print">
                      <a:extLst>
                        <a:ext uri="{28A0092B-C50C-407E-A947-70E740481C1C}">
                          <a14:useLocalDpi xmlns:a14="http://schemas.microsoft.com/office/drawing/2010/main" val="0"/>
                        </a:ext>
                      </a:extLst>
                    </a:blip>
                    <a:srcRect t="281" b="5489"/>
                    <a:stretch>
                      <a:fillRect/>
                    </a:stretch>
                  </pic:blipFill>
                  <pic:spPr bwMode="auto">
                    <a:xfrm>
                      <a:off x="0" y="0"/>
                      <a:ext cx="4095750" cy="1304925"/>
                    </a:xfrm>
                    <a:prstGeom prst="rect">
                      <a:avLst/>
                    </a:prstGeom>
                    <a:noFill/>
                    <a:ln>
                      <a:noFill/>
                    </a:ln>
                  </pic:spPr>
                </pic:pic>
              </a:graphicData>
            </a:graphic>
          </wp:inline>
        </w:drawing>
      </w:r>
    </w:p>
    <w:p w:rsidR="00BC4D4B" w:rsidRDefault="00BC4D4B" w:rsidP="00BC4D4B">
      <w:pPr>
        <w:pStyle w:val="Flietext"/>
        <w:numPr>
          <w:ilvl w:val="0"/>
          <w:numId w:val="5"/>
        </w:numPr>
      </w:pPr>
      <w:r>
        <w:t>Es wird nicht verstanden, dass die Zahl 70 Trilliarden in Ziffern geschrieben werden soll. Somit wird lediglich die Null der Zahl 70 als solche genannt (Fehllösung: 1).</w:t>
      </w:r>
    </w:p>
    <w:p w:rsidR="00BC4D4B" w:rsidRDefault="007205C6" w:rsidP="00BC4D4B">
      <w:pPr>
        <w:pStyle w:val="Flietext"/>
        <w:numPr>
          <w:ilvl w:val="0"/>
          <w:numId w:val="5"/>
        </w:num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1.65pt;margin-top:37.85pt;width:22.95pt;height:15pt;z-index:251659264">
            <v:imagedata r:id="rId9" o:title=""/>
          </v:shape>
          <o:OLEObject Type="Embed" ProgID="Equation.DSMT4" ShapeID="_x0000_s1026" DrawAspect="Content" ObjectID="_1778503733" r:id="rId10"/>
        </w:object>
      </w:r>
      <w:r>
        <w:rPr>
          <w:noProof/>
        </w:rPr>
        <w:object w:dxaOrig="1440" w:dyaOrig="1440">
          <v:shape id="_x0000_s1027" type="#_x0000_t75" style="position:absolute;left:0;text-align:left;margin-left:260.4pt;margin-top:38.5pt;width:22.95pt;height:15pt;z-index:251660288">
            <v:imagedata r:id="rId11" o:title=""/>
          </v:shape>
          <o:OLEObject Type="Embed" ProgID="Equation.DSMT4" ShapeID="_x0000_s1027" DrawAspect="Content" ObjectID="_1778503732" r:id="rId12"/>
        </w:object>
      </w:r>
      <w:r w:rsidR="00BC4D4B" w:rsidRPr="00E636A3">
        <w:rPr>
          <w:rStyle w:val="FlietextZchn"/>
        </w:rPr>
        <w:t xml:space="preserve">Die Schülerinnen und Schüler notieren die Anzahl der Nullen bei der Zahl 70 Trillionen (Fehllösung: 19). Dies kann auf einen Fehler beim Ermitteln der Anzahl der Faktoren 1000 zurückgehen und lässt vermuten, dass wenig Erfahrung im Umgang mit derartig großen Zahlen vorliegt. Statt </w:t>
      </w:r>
      <w:r w:rsidR="00BC4D4B">
        <w:rPr>
          <w:rStyle w:val="FlietextZchn"/>
        </w:rPr>
        <w:t xml:space="preserve">         </w:t>
      </w:r>
      <w:r w:rsidR="00BC4D4B" w:rsidRPr="00E636A3">
        <w:rPr>
          <w:rStyle w:val="FlietextZchn"/>
        </w:rPr>
        <w:t xml:space="preserve">Nullen werden nur </w:t>
      </w:r>
      <w:r w:rsidR="00BC4D4B">
        <w:rPr>
          <w:rStyle w:val="FlietextZchn"/>
        </w:rPr>
        <w:t xml:space="preserve">         </w:t>
      </w:r>
      <w:r w:rsidR="00BC4D4B" w:rsidRPr="00E636A3">
        <w:rPr>
          <w:rStyle w:val="FlietextZchn"/>
        </w:rPr>
        <w:t xml:space="preserve">Nullen notiert, also eine </w:t>
      </w:r>
      <w:r w:rsidR="00BC4D4B" w:rsidRPr="00E636A3">
        <w:rPr>
          <w:rStyle w:val="FlietextZchn"/>
        </w:rPr>
        <w:lastRenderedPageBreak/>
        <w:t>Tausendergruppe vernachlässigt. Die folgende Schülerlösung zeigt diesen Fehler:</w:t>
      </w:r>
      <w:r w:rsidR="00BC4D4B">
        <w:br/>
      </w:r>
      <w:r w:rsidR="00BC4D4B" w:rsidRPr="00400489">
        <w:rPr>
          <w:noProof/>
        </w:rPr>
        <w:drawing>
          <wp:inline distT="0" distB="0" distL="0" distR="0">
            <wp:extent cx="1885950" cy="3238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
                    <pic:cNvPicPr>
                      <a:picLocks noChangeAspect="1" noChangeArrowheads="1"/>
                    </pic:cNvPicPr>
                  </pic:nvPicPr>
                  <pic:blipFill>
                    <a:blip r:embed="rId13" cstate="print">
                      <a:extLst>
                        <a:ext uri="{28A0092B-C50C-407E-A947-70E740481C1C}">
                          <a14:useLocalDpi xmlns:a14="http://schemas.microsoft.com/office/drawing/2010/main" val="0"/>
                        </a:ext>
                      </a:extLst>
                    </a:blip>
                    <a:srcRect l="-1556" t="15057" b="32243"/>
                    <a:stretch>
                      <a:fillRect/>
                    </a:stretch>
                  </pic:blipFill>
                  <pic:spPr bwMode="auto">
                    <a:xfrm>
                      <a:off x="0" y="0"/>
                      <a:ext cx="1885950" cy="323850"/>
                    </a:xfrm>
                    <a:prstGeom prst="rect">
                      <a:avLst/>
                    </a:prstGeom>
                    <a:noFill/>
                    <a:ln>
                      <a:noFill/>
                    </a:ln>
                  </pic:spPr>
                </pic:pic>
              </a:graphicData>
            </a:graphic>
          </wp:inline>
        </w:drawing>
      </w:r>
    </w:p>
    <w:p w:rsidR="00BC4D4B" w:rsidRDefault="00BC4D4B" w:rsidP="00BC4D4B">
      <w:pPr>
        <w:pStyle w:val="Flietext"/>
      </w:pPr>
      <w:r>
        <w:t>Zu Teilaufgabe 4.2:</w:t>
      </w:r>
    </w:p>
    <w:p w:rsidR="00BC4D4B" w:rsidRPr="00455169" w:rsidRDefault="00BC4D4B" w:rsidP="00BC4D4B">
      <w:pPr>
        <w:pStyle w:val="Flietext"/>
        <w:numPr>
          <w:ilvl w:val="0"/>
          <w:numId w:val="6"/>
        </w:numPr>
      </w:pPr>
      <w:r>
        <w:t>Die Null der Zahl 70 wird vernachlässigt. Als Exponent der Zehnerpotenz wird demnach 21 angegeben:</w:t>
      </w:r>
      <w:r>
        <w:br/>
      </w:r>
      <w:r w:rsidRPr="00400489">
        <w:rPr>
          <w:noProof/>
        </w:rPr>
        <w:drawing>
          <wp:inline distT="0" distB="0" distL="0" distR="0">
            <wp:extent cx="1885950" cy="4762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
                    <pic:cNvPicPr>
                      <a:picLocks noChangeAspect="1" noChangeArrowheads="1"/>
                    </pic:cNvPicPr>
                  </pic:nvPicPr>
                  <pic:blipFill>
                    <a:blip r:embed="rId14" cstate="print">
                      <a:extLst>
                        <a:ext uri="{28A0092B-C50C-407E-A947-70E740481C1C}">
                          <a14:useLocalDpi xmlns:a14="http://schemas.microsoft.com/office/drawing/2010/main" val="0"/>
                        </a:ext>
                      </a:extLst>
                    </a:blip>
                    <a:srcRect l="4041" t="83604" r="61797" b="4106"/>
                    <a:stretch>
                      <a:fillRect/>
                    </a:stretch>
                  </pic:blipFill>
                  <pic:spPr bwMode="auto">
                    <a:xfrm>
                      <a:off x="0" y="0"/>
                      <a:ext cx="1885950" cy="476250"/>
                    </a:xfrm>
                    <a:prstGeom prst="rect">
                      <a:avLst/>
                    </a:prstGeom>
                    <a:noFill/>
                    <a:ln>
                      <a:noFill/>
                    </a:ln>
                  </pic:spPr>
                </pic:pic>
              </a:graphicData>
            </a:graphic>
          </wp:inline>
        </w:drawing>
      </w:r>
    </w:p>
    <w:p w:rsidR="00BC4D4B" w:rsidRPr="00BC4D4B" w:rsidRDefault="00BC4D4B" w:rsidP="00BC4D4B">
      <w:pPr>
        <w:pStyle w:val="IQB-Teilaufgabentitel"/>
        <w:rPr>
          <w:b/>
        </w:rPr>
      </w:pPr>
      <w:r w:rsidRPr="00BC4D4B">
        <w:rPr>
          <w:b/>
        </w:rPr>
        <w:t>Anregungen für den Unterricht</w:t>
      </w:r>
    </w:p>
    <w:p w:rsidR="00BC4D4B" w:rsidRDefault="00BC4D4B" w:rsidP="00BC4D4B">
      <w:pPr>
        <w:pStyle w:val="Flietext"/>
      </w:pPr>
      <w:r>
        <w:t xml:space="preserve">Kommt es bei der Bearbeitung der Aufgabe zu Schwierigkeiten, bietet es sich an, das Zahlwort 70 Trilliarden schrittweise in Ziffern ausschreiben zu lassen (siehe hierzu auch Didaktischer Kommentar zur Aufgabe Hälfe der Lernstandserhebung 2014). Dabei können ausgehend von der Zahl 70 die einzelnen Zahlwörter dargestellt und benannt werden und anschließend können die Nullen des Zahlwortes 70 Trilliarden ermittelt werden. Ein ähnliches Vorgehen bietet sich bei der Darstellung großer Zahlen mittels Zehnerpotenzen an. Dies ermöglicht es, das Zustandekommen des Exponenten und die Auswirkungen der Multiplikation einer Zahl mit einer Zehnerpotenz zu erklären. Zur Darstellung kann hierbei gut auf eine Stellenwerttafel zurückgegriffen werden. </w:t>
      </w:r>
    </w:p>
    <w:p w:rsidR="0005652D" w:rsidRDefault="007205C6" w:rsidP="00BC4D4B">
      <w:pPr>
        <w:pStyle w:val="IQB-Teilaufgabentitel"/>
      </w:pPr>
      <w:r>
        <w:rPr>
          <w:noProof/>
        </w:rPr>
        <w:object w:dxaOrig="1440" w:dyaOrig="1440">
          <v:shape id="_x0000_s1030" type="#_x0000_t75" style="position:absolute;margin-left:296.65pt;margin-top:80.85pt;width:91.15pt;height:16.85pt;z-index:251663360">
            <v:imagedata r:id="rId15" o:title=""/>
          </v:shape>
          <o:OLEObject Type="Embed" ProgID="Equation.DSMT4" ShapeID="_x0000_s1030" DrawAspect="Content" ObjectID="_1778503736" r:id="rId16"/>
        </w:object>
      </w:r>
      <w:r>
        <w:rPr>
          <w:noProof/>
        </w:rPr>
        <w:object w:dxaOrig="1440" w:dyaOrig="1440">
          <v:shape id="_x0000_s1029" type="#_x0000_t75" style="position:absolute;margin-left:173.05pt;margin-top:80.2pt;width:41.15pt;height:16.85pt;z-index:251662336">
            <v:imagedata r:id="rId17" o:title=""/>
          </v:shape>
          <o:OLEObject Type="Embed" ProgID="Equation.DSMT4" ShapeID="_x0000_s1029" DrawAspect="Content" ObjectID="_1778503734" r:id="rId18"/>
        </w:object>
      </w:r>
      <w:r>
        <w:rPr>
          <w:noProof/>
        </w:rPr>
        <w:object w:dxaOrig="1440" w:dyaOrig="1440">
          <v:shape id="_x0000_s1028" type="#_x0000_t75" style="position:absolute;margin-left:38.25pt;margin-top:80.2pt;width:60pt;height:17.25pt;z-index:251661312">
            <v:imagedata r:id="rId19" o:title=""/>
          </v:shape>
          <o:OLEObject Type="Embed" ProgID="Equation.DSMT4" ShapeID="_x0000_s1028" DrawAspect="Content" ObjectID="_1778503735" r:id="rId20"/>
        </w:object>
      </w:r>
      <w:r w:rsidR="00BC4D4B">
        <w:t>Zur Vertiefung können weitere große Zahlen mittels Zehnerpotenzen dargestellt werden. Geeignete Angaben finden sich beispielsweise in naturwissenschaftlichen Texten zum Körper des Menschen oder aber in astronomischen Texten, etwa zur Entfernung der Planeten zur Sonne, so dass hier auch fächerübergreifend gearbeitet werden kann. Leistungsstärkere Schülerinnen und Schüler können dabei auch aufgefordert werden, komplexere Zahlen wie 87</w:t>
      </w:r>
      <w:r w:rsidR="00BC4D4B" w:rsidRPr="005C3354">
        <w:rPr>
          <w:sz w:val="12"/>
          <w:szCs w:val="12"/>
        </w:rPr>
        <w:t xml:space="preserve"> </w:t>
      </w:r>
      <w:r w:rsidR="00BC4D4B">
        <w:t>059</w:t>
      </w:r>
      <w:r w:rsidR="00BC4D4B" w:rsidRPr="005C3354">
        <w:rPr>
          <w:sz w:val="12"/>
          <w:szCs w:val="12"/>
        </w:rPr>
        <w:t xml:space="preserve"> </w:t>
      </w:r>
      <w:r w:rsidR="00BC4D4B">
        <w:t xml:space="preserve">000 als Summe aus Produkten mit Zehnerpotenzen darzustellen. Gemäß der Scientific Notation können </w:t>
      </w:r>
      <w:r w:rsidR="00BC4D4B">
        <w:rPr>
          <w:rStyle w:val="FlietextZchn"/>
        </w:rPr>
        <w:t>        </w:t>
      </w:r>
      <w:r w:rsidR="00BC4D4B">
        <w:t xml:space="preserve"> </w:t>
      </w:r>
      <w:r w:rsidR="00BC4D4B">
        <w:rPr>
          <w:rStyle w:val="FlietextZchn"/>
        </w:rPr>
        <w:t>        </w:t>
      </w:r>
      <w:r w:rsidR="00BC4D4B">
        <w:t>   oder gerundet</w:t>
      </w:r>
      <w:r>
        <w:t xml:space="preserve">               </w:t>
      </w:r>
      <w:r w:rsidR="00BC4D4B">
        <w:t xml:space="preserve">oder als Summe </w:t>
      </w:r>
      <w:r w:rsidR="00BC4D4B">
        <w:rPr>
          <w:rStyle w:val="FlietextZchn"/>
        </w:rPr>
        <w:t>                  </w:t>
      </w:r>
      <w:r w:rsidR="00BC4D4B">
        <w:t xml:space="preserve"> </w:t>
      </w:r>
      <w:r w:rsidR="00BC4D4B">
        <w:rPr>
          <w:rStyle w:val="FlietextZchn"/>
        </w:rPr>
        <w:t>        </w:t>
      </w:r>
      <w:r w:rsidR="00BC4D4B">
        <w:t>   noti</w:t>
      </w:r>
      <w:bookmarkStart w:id="0" w:name="_GoBack"/>
      <w:bookmarkEnd w:id="0"/>
      <w:r w:rsidR="00BC4D4B">
        <w:t>ert werden.</w:t>
      </w:r>
    </w:p>
    <w:sectPr w:rsidR="0005652D" w:rsidSect="00DB65DC">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DE41444"/>
    <w:multiLevelType w:val="hybridMultilevel"/>
    <w:tmpl w:val="DF4CFAE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C0028D9"/>
    <w:multiLevelType w:val="hybridMultilevel"/>
    <w:tmpl w:val="0EE4B8A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5652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E6735"/>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205C6"/>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C4D4B"/>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13F0AA9"/>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BC4D4B"/>
    <w:pPr>
      <w:keepNext/>
      <w:spacing w:before="120"/>
    </w:pPr>
    <w:rPr>
      <w:rFonts w:ascii="Arial" w:hAnsi="Arial" w:cs="Arial"/>
      <w:b/>
      <w:bCs/>
      <w:iCs/>
      <w:sz w:val="24"/>
      <w:szCs w:val="24"/>
    </w:rPr>
  </w:style>
  <w:style w:type="character" w:customStyle="1" w:styleId="FlietextZchn">
    <w:name w:val="Fließtext Zchn"/>
    <w:link w:val="Flietext"/>
    <w:rsid w:val="00BC4D4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179E7-10B5-4759-B798-9C064598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3381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9</cp:revision>
  <cp:lastPrinted>2012-12-11T10:05:00Z</cp:lastPrinted>
  <dcterms:created xsi:type="dcterms:W3CDTF">2024-04-26T08:30:00Z</dcterms:created>
  <dcterms:modified xsi:type="dcterms:W3CDTF">2024-05-29T14:02:00Z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